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99" w:rsidRDefault="00816699">
      <w:pPr>
        <w:jc w:val="center"/>
        <w:rPr>
          <w:b/>
          <w:bCs/>
        </w:rPr>
      </w:pPr>
    </w:p>
    <w:p w:rsidR="00816699" w:rsidRDefault="00816699">
      <w:pPr>
        <w:jc w:val="center"/>
        <w:rPr>
          <w:b/>
          <w:bCs/>
        </w:rPr>
      </w:pPr>
    </w:p>
    <w:p w:rsidR="00816699" w:rsidRDefault="00816699">
      <w:pPr>
        <w:jc w:val="center"/>
        <w:rPr>
          <w:b/>
          <w:bCs/>
        </w:rPr>
      </w:pPr>
    </w:p>
    <w:p w:rsidR="00816699" w:rsidRDefault="00816699">
      <w:pPr>
        <w:jc w:val="center"/>
        <w:rPr>
          <w:b/>
          <w:bCs/>
        </w:rPr>
      </w:pP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№32413353107 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на поставку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установки стоматологической, включающей блок врача-стоматолога(бормашина), кресло стоматологическое, гидроблок стоматологический, светильник операционный стоматологический для ОГАУЗ «Смоленская областная клиническая стоматологическая поликлиника»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г. Смол</w:t>
      </w:r>
      <w:r w:rsidRPr="00816699">
        <w:rPr>
          <w:rFonts w:ascii="Times New Roman" w:hAnsi="Times New Roman" w:cs="Times New Roman"/>
          <w:sz w:val="24"/>
          <w:szCs w:val="24"/>
        </w:rPr>
        <w:t>енск                                                                                                  «</w:t>
      </w:r>
      <w:r w:rsidR="00816699" w:rsidRPr="00816699">
        <w:rPr>
          <w:rFonts w:ascii="Times New Roman" w:hAnsi="Times New Roman" w:cs="Times New Roman"/>
          <w:sz w:val="24"/>
          <w:szCs w:val="24"/>
        </w:rPr>
        <w:t>01</w:t>
      </w:r>
      <w:r w:rsidRPr="00816699">
        <w:rPr>
          <w:rFonts w:ascii="Times New Roman" w:hAnsi="Times New Roman" w:cs="Times New Roman"/>
          <w:sz w:val="24"/>
          <w:szCs w:val="24"/>
        </w:rPr>
        <w:t>»</w:t>
      </w:r>
      <w:r w:rsidR="00816699" w:rsidRPr="00816699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816699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440C94" w:rsidRP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О</w:t>
      </w:r>
      <w:r w:rsidR="00133E1B" w:rsidRPr="00816699">
        <w:rPr>
          <w:rFonts w:ascii="Times New Roman" w:eastAsia="Lucida Sans Unicode" w:hAnsi="Times New Roman" w:cs="Times New Roman"/>
          <w:sz w:val="24"/>
          <w:szCs w:val="24"/>
        </w:rPr>
        <w:t>бластное государственное автономное учреждение здравоохранения «Смоленская областная клиническая стоматологическая  поликли</w:t>
      </w:r>
      <w:r w:rsidR="00133E1B" w:rsidRPr="00816699">
        <w:rPr>
          <w:rFonts w:ascii="Times New Roman" w:eastAsia="Lucida Sans Unicode" w:hAnsi="Times New Roman" w:cs="Times New Roman"/>
          <w:sz w:val="24"/>
          <w:szCs w:val="24"/>
        </w:rPr>
        <w:t>ника» в лице главного врача Зубакина Игоря Сергеевича, действующего на основании Устава, именуемое в дальнейшем «Заказчик», с одной стороны, и  индивидуальный предприниматель Хватькова Наталья Александровна, действующая на основании свидетельства №67 00196</w:t>
      </w:r>
      <w:r w:rsidR="00133E1B" w:rsidRPr="00816699">
        <w:rPr>
          <w:rFonts w:ascii="Times New Roman" w:eastAsia="Lucida Sans Unicode" w:hAnsi="Times New Roman" w:cs="Times New Roman"/>
          <w:sz w:val="24"/>
          <w:szCs w:val="24"/>
        </w:rPr>
        <w:t>384 от 30.11.2015 г., именуемый в дальнейшем «Исполнитель», с другой стороны, далее вместе именуемые «Стороны», принимая во внимание, что Заказчик провел электронный аукцион (Итоговый протокол рассмотрения заявок от «19» марта 2024г. №32413353107) в соотве</w:t>
      </w:r>
      <w:r w:rsidR="00133E1B" w:rsidRPr="00816699">
        <w:rPr>
          <w:rFonts w:ascii="Times New Roman" w:eastAsia="Lucida Sans Unicode" w:hAnsi="Times New Roman" w:cs="Times New Roman"/>
          <w:sz w:val="24"/>
          <w:szCs w:val="24"/>
        </w:rPr>
        <w:t xml:space="preserve">тствии с Федеральным законом от 18 июля 2011 г. N 223-ФЗ «О закупках товаров, работ, услуг отдельными видами юридических лиц» и на основании Положения о закупке товаров, работ, услуг ОГАУЗ «Смоленская областная клиническая стоматологическая  поликлиника», </w:t>
      </w:r>
      <w:r w:rsidR="00133E1B" w:rsidRPr="00816699">
        <w:rPr>
          <w:rFonts w:ascii="Times New Roman" w:eastAsia="Lucida Sans Unicode" w:hAnsi="Times New Roman" w:cs="Times New Roman"/>
          <w:sz w:val="24"/>
          <w:szCs w:val="24"/>
        </w:rPr>
        <w:t xml:space="preserve">утвержденного решением Наблюдательного совета ОГАУЗ «Смоленская областная клиническая стоматологическая поликлиника» 28.06.2021 Исполнитель был признан победителем электронного аукциона, заключили настоящий Договор о нижеследующем: 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1. Предмет и цена догов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ора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п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оставка установки стоматологической, включающей блок врача-стоматолога(бормашина), кресло стоматологическое, гидроблок стоматологический, светильник операционный стоматологический для ОГАУЗ «Смоленская облас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тная клиническая стоматологическая поликлиника»</w:t>
      </w:r>
      <w:r w:rsidRPr="00816699">
        <w:rPr>
          <w:rFonts w:ascii="Times New Roman" w:hAnsi="Times New Roman" w:cs="Times New Roman"/>
          <w:sz w:val="24"/>
          <w:szCs w:val="24"/>
        </w:rPr>
        <w:t xml:space="preserve"> (далее Товар) согласно перечню, требованиям, характеристикам, объему и иным показателям, указанным в Приложении 1 к договору (Техническое задание) и Приложению № 2 к договору (Спецификация)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1.2. Цена Догово</w:t>
      </w:r>
      <w:r w:rsidRPr="00816699">
        <w:rPr>
          <w:rFonts w:ascii="Times New Roman" w:hAnsi="Times New Roman" w:cs="Times New Roman"/>
          <w:sz w:val="24"/>
          <w:szCs w:val="24"/>
        </w:rPr>
        <w:t xml:space="preserve">ра составляет 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905450,00 (Девятьсот пять тысяч четыреста пятьдесят рублей) 00 копеек , </w:t>
      </w:r>
      <w:r w:rsidRPr="00816699">
        <w:rPr>
          <w:rFonts w:ascii="Times New Roman" w:hAnsi="Times New Roman" w:cs="Times New Roman"/>
          <w:sz w:val="24"/>
          <w:szCs w:val="24"/>
        </w:rPr>
        <w:t>бе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16699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440C94" w:rsidRPr="00816699" w:rsidRDefault="00133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Цена Договора является твердой и определяется на весь срок исполнения Договора.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1.3. Налоги и сборы, взимаемые с Исполнителя в связи с исполнением настоящего Дог</w:t>
      </w:r>
      <w:r w:rsidRPr="00816699">
        <w:rPr>
          <w:rFonts w:ascii="Times New Roman" w:hAnsi="Times New Roman" w:cs="Times New Roman"/>
          <w:sz w:val="24"/>
          <w:szCs w:val="24"/>
        </w:rPr>
        <w:t xml:space="preserve">овора, расходы на доставку, погрузку, разгрузку, монтаж, осуществление пуско-наладочных работ, обучение персонала включены в цену Договора и оплачиваются Исполнителем. 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2. Порядок поставки товара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2.1. </w:t>
      </w:r>
      <w:r w:rsidRPr="00816699">
        <w:rPr>
          <w:rFonts w:ascii="Times New Roman" w:eastAsia="Times New Roman CYR" w:hAnsi="Times New Roman" w:cs="Times New Roman"/>
          <w:sz w:val="24"/>
          <w:szCs w:val="24"/>
        </w:rPr>
        <w:t>Исполнитель обязуется осуществлять поставку товара, мон</w:t>
      </w:r>
      <w:r w:rsidRPr="00816699">
        <w:rPr>
          <w:rFonts w:ascii="Times New Roman" w:eastAsia="Times New Roman CYR" w:hAnsi="Times New Roman" w:cs="Times New Roman"/>
          <w:sz w:val="24"/>
          <w:szCs w:val="24"/>
        </w:rPr>
        <w:t>таж, пуско-наладку и обучить персонал в соответствии с Техническим заданием Заказчика. Срок поставки товара, монтажа, пуско-наладки, обучения персонала: в течение 30 дней со дня заключения Договора, по адресу:</w:t>
      </w:r>
      <w:r w:rsidRPr="00816699">
        <w:rPr>
          <w:rFonts w:ascii="Times New Roman" w:hAnsi="Times New Roman" w:cs="Times New Roman"/>
          <w:sz w:val="24"/>
          <w:szCs w:val="24"/>
        </w:rPr>
        <w:t xml:space="preserve"> </w:t>
      </w:r>
      <w:r w:rsidRPr="00816699">
        <w:rPr>
          <w:rFonts w:ascii="Times New Roman" w:eastAsia="Times New Roman CYR" w:hAnsi="Times New Roman" w:cs="Times New Roman"/>
          <w:sz w:val="24"/>
          <w:szCs w:val="24"/>
        </w:rPr>
        <w:t>Российская Федерация, Смоленская область, г. С</w:t>
      </w:r>
      <w:r w:rsidRPr="00816699">
        <w:rPr>
          <w:rFonts w:ascii="Times New Roman" w:eastAsia="Times New Roman CYR" w:hAnsi="Times New Roman" w:cs="Times New Roman"/>
          <w:sz w:val="24"/>
          <w:szCs w:val="24"/>
        </w:rPr>
        <w:t xml:space="preserve">моленск, проспект Гагарина дом 27А. </w:t>
      </w: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2.2. Исполнитель обязан укомплектовать Товар следующими документами:</w:t>
      </w:r>
    </w:p>
    <w:p w:rsidR="00440C94" w:rsidRPr="00816699" w:rsidRDefault="00133E1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счет-фактурами, счетами;</w:t>
      </w:r>
    </w:p>
    <w:p w:rsidR="00440C94" w:rsidRPr="00816699" w:rsidRDefault="00133E1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товарными накладными.</w:t>
      </w:r>
    </w:p>
    <w:p w:rsidR="00440C94" w:rsidRPr="00816699" w:rsidRDefault="00133E1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актами приемки-передачи товара.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2.3. Датой поставки партии товара считается дата приемки товара Заказчи</w:t>
      </w:r>
      <w:r w:rsidRPr="00816699">
        <w:rPr>
          <w:rFonts w:ascii="Times New Roman" w:hAnsi="Times New Roman" w:cs="Times New Roman"/>
          <w:sz w:val="24"/>
          <w:szCs w:val="24"/>
        </w:rPr>
        <w:t>ком и подписания Сторонами накладной (ых).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2.3.1. Приемке Товара должны предшествовать пуско-наладочные работы, проводимые Исполнителем при участии представителей Заказчика. Приемка Товара может осуществляться только при положительном результате предварите</w:t>
      </w:r>
      <w:r w:rsidRPr="00816699">
        <w:rPr>
          <w:rFonts w:ascii="Times New Roman" w:hAnsi="Times New Roman" w:cs="Times New Roman"/>
          <w:sz w:val="24"/>
          <w:szCs w:val="24"/>
        </w:rPr>
        <w:t>льных испытаний. Результаты испытаний оформляются Актом ввода в эксплуатацию, подписанным Сторонами.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2.4. Право собственности на Товар, а также риск случайной гибели или случайного повреждения Товара, переходит от Исполнителя к Заказчику с момента передачи</w:t>
      </w:r>
      <w:r w:rsidRPr="00816699">
        <w:rPr>
          <w:rFonts w:ascii="Times New Roman" w:hAnsi="Times New Roman" w:cs="Times New Roman"/>
          <w:sz w:val="24"/>
          <w:szCs w:val="24"/>
        </w:rPr>
        <w:t xml:space="preserve"> Товара Заказчику (подписание накладной(ых), акта приема-передачи Товара).</w:t>
      </w:r>
    </w:p>
    <w:p w:rsidR="00440C94" w:rsidRPr="00816699" w:rsidRDefault="00133E1B" w:rsidP="008166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2.5. Поставка Товара выполняется Исполнителем без авансирования со стороны Заказчика.</w:t>
      </w:r>
    </w:p>
    <w:p w:rsidR="00440C94" w:rsidRPr="00816699" w:rsidRDefault="00816699" w:rsidP="00816699">
      <w:pPr>
        <w:spacing w:after="0"/>
        <w:ind w:lef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Качество и комплектность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3.1.</w:t>
      </w:r>
      <w:r w:rsidRPr="00816699">
        <w:rPr>
          <w:rFonts w:ascii="Times New Roman" w:hAnsi="Times New Roman" w:cs="Times New Roman"/>
          <w:sz w:val="24"/>
          <w:szCs w:val="24"/>
        </w:rPr>
        <w:tab/>
      </w:r>
      <w:r w:rsidRPr="00816699">
        <w:rPr>
          <w:rFonts w:ascii="Times New Roman" w:hAnsi="Times New Roman" w:cs="Times New Roman"/>
          <w:sz w:val="24"/>
          <w:szCs w:val="24"/>
        </w:rPr>
        <w:t>Приемка Товара по количеству, качеству и цене производится на ос</w:t>
      </w:r>
      <w:r w:rsidRPr="00816699">
        <w:rPr>
          <w:rFonts w:ascii="Times New Roman" w:hAnsi="Times New Roman" w:cs="Times New Roman"/>
          <w:sz w:val="24"/>
          <w:szCs w:val="24"/>
        </w:rPr>
        <w:t xml:space="preserve">новании накладной, счет-фактуры и иных необходимых документов.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3.2.</w:t>
      </w:r>
      <w:r w:rsidRPr="00816699">
        <w:rPr>
          <w:rFonts w:ascii="Times New Roman" w:hAnsi="Times New Roman" w:cs="Times New Roman"/>
          <w:sz w:val="24"/>
          <w:szCs w:val="24"/>
        </w:rPr>
        <w:tab/>
      </w:r>
      <w:r w:rsidRPr="00816699">
        <w:rPr>
          <w:rFonts w:ascii="Times New Roman" w:hAnsi="Times New Roman" w:cs="Times New Roman"/>
          <w:sz w:val="24"/>
          <w:szCs w:val="24"/>
        </w:rPr>
        <w:t>Качество продукции, подлежащей поставке, проверяется Исполнителем на соответствие ее требованиям ГОСТов, ОСТов, стандартов и подтверждается документами о качестве.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3.3.</w:t>
      </w:r>
      <w:r w:rsidRPr="00816699">
        <w:rPr>
          <w:rFonts w:ascii="Times New Roman" w:hAnsi="Times New Roman" w:cs="Times New Roman"/>
          <w:sz w:val="24"/>
          <w:szCs w:val="24"/>
        </w:rPr>
        <w:tab/>
      </w:r>
      <w:r w:rsidRPr="00816699">
        <w:rPr>
          <w:rFonts w:ascii="Times New Roman" w:hAnsi="Times New Roman" w:cs="Times New Roman"/>
          <w:sz w:val="24"/>
          <w:szCs w:val="24"/>
        </w:rPr>
        <w:t xml:space="preserve">Приемка продукции по качеству и количеству производится в соответствии с действующими Инструкциями;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3.4. Исполнитель обязуется передать Заказчику документы, подтверждающие соответствие товара стандартам, техническим требованиям, установленным для этого ви</w:t>
      </w:r>
      <w:r w:rsidRPr="00816699">
        <w:rPr>
          <w:rFonts w:ascii="Times New Roman" w:hAnsi="Times New Roman" w:cs="Times New Roman"/>
          <w:sz w:val="24"/>
          <w:szCs w:val="24"/>
        </w:rPr>
        <w:t>да товара.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3.5.</w:t>
      </w:r>
      <w:r w:rsidRPr="00816699">
        <w:rPr>
          <w:rFonts w:ascii="Times New Roman" w:hAnsi="Times New Roman" w:cs="Times New Roman"/>
          <w:sz w:val="24"/>
          <w:szCs w:val="24"/>
        </w:rPr>
        <w:tab/>
      </w:r>
      <w:r w:rsidRPr="00816699">
        <w:rPr>
          <w:rFonts w:ascii="Times New Roman" w:hAnsi="Times New Roman" w:cs="Times New Roman"/>
          <w:sz w:val="24"/>
          <w:szCs w:val="24"/>
        </w:rPr>
        <w:t>В случае, когда при визуальном осмотре и подсчете товара в процессе его приема-передачи будут обнаружены брак и/или недопоставка Товара, Заказчик обязан немедленно сделать отметки об этом в накладной, а также составить в 2-х экземплярах акт о браке / недоп</w:t>
      </w:r>
      <w:r w:rsidRPr="00816699">
        <w:rPr>
          <w:rFonts w:ascii="Times New Roman" w:hAnsi="Times New Roman" w:cs="Times New Roman"/>
          <w:sz w:val="24"/>
          <w:szCs w:val="24"/>
        </w:rPr>
        <w:t>оставке.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3.6. При приемке товара должны присутствовать представители сторон, уполномоченные на подписание актов приемки товара о браке, о недопоставке товара и иных нарушениях.</w:t>
      </w:r>
    </w:p>
    <w:p w:rsid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3.7. Исполнитель гарантирует, что качество поставляемого Товара соответствует т</w:t>
      </w:r>
      <w:r w:rsidRPr="00816699">
        <w:rPr>
          <w:rFonts w:ascii="Times New Roman" w:hAnsi="Times New Roman" w:cs="Times New Roman"/>
          <w:sz w:val="24"/>
          <w:szCs w:val="24"/>
        </w:rPr>
        <w:t>ребованиям стандартов и технических условий, установленных в Российской Федерации, Товар маркирован в соответствии с установленными для данного вида товаров стандартами и техническими условиями, а также иными требованиями, предъявляемыми к указанным товара</w:t>
      </w:r>
      <w:r w:rsidRPr="00816699">
        <w:rPr>
          <w:rFonts w:ascii="Times New Roman" w:hAnsi="Times New Roman" w:cs="Times New Roman"/>
          <w:sz w:val="24"/>
          <w:szCs w:val="24"/>
        </w:rPr>
        <w:t xml:space="preserve">м для реализации </w:t>
      </w: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их в оптовой и розничной торговле на территории Российской Федерации, и требованиям, изложенным в электронном аукционе.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color w:val="000000"/>
          <w:sz w:val="24"/>
          <w:szCs w:val="24"/>
        </w:rPr>
        <w:t>3.7.1. Качество поставляемых по настоящему договору товаров подтверждается действующими сертификатами соответствия и пр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очими документами, подтверждающими соответствие качества товара действующим в Российской Федерации требованиям.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color w:val="000000"/>
          <w:sz w:val="24"/>
          <w:szCs w:val="24"/>
        </w:rPr>
        <w:t>3.7.2. Срок действия сертификатов соответствия должен иметь силу в течение всего срока годности/реализации товаров. Сертификаты соответствия вхо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дят в состав комплекта сопроводительной документации на товар и в обязательном порядке передаются Заказчику.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color w:val="000000"/>
          <w:sz w:val="24"/>
          <w:szCs w:val="24"/>
        </w:rPr>
        <w:t>3.7.3. Сопроводительные документы на товар оформляются на русском языке и должны содержать необходимый и достаточный объем информации о товаре.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3.8</w:t>
      </w:r>
      <w:r w:rsidRPr="00816699">
        <w:rPr>
          <w:rFonts w:ascii="Times New Roman" w:hAnsi="Times New Roman" w:cs="Times New Roman"/>
          <w:sz w:val="24"/>
          <w:szCs w:val="24"/>
        </w:rPr>
        <w:t>. Количество Товара, передаваемого Заказчику, должно точно соответствовать количеству, указанному в форме заказа на поставку и в спецификации к договору. Маркировка Товара должна обеспечивать полную и однозначную идентификацию каждой единицы Товара при его</w:t>
      </w:r>
      <w:r w:rsidRPr="00816699">
        <w:rPr>
          <w:rFonts w:ascii="Times New Roman" w:hAnsi="Times New Roman" w:cs="Times New Roman"/>
          <w:sz w:val="24"/>
          <w:szCs w:val="24"/>
        </w:rPr>
        <w:t xml:space="preserve"> приемке.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3.9. Заключение двухстороннего акта с указанием причин недоброкачественной продукции дает право Заказчику на бесплатную замену Товара.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color w:val="000000"/>
          <w:sz w:val="24"/>
          <w:szCs w:val="24"/>
        </w:rPr>
        <w:t xml:space="preserve">3.10. В случае обнаружения в процессе хранения или использования скрытых дефектов товара Заказчик обязан любым 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доступным средством связи сообщить об этом Исполнителю, Исполнитель обязан в течение 24 часов направить уполномоченного представителя к Заказчику для составления Акта, указав в акте характер обнаруженных дефектов, Заказчик имеет право потребовать обмена ил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и возврата Товара ненадлежащего качества. В случае неявки уполномоченного представителя Исполнителя в указанное время Заказчик составляет Акт в одностороннем порядке. Исполнитель обязан проверить сведения, заявленные в Акте, не позднее 2-х (двух) дней с мо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мента получения Акта и согласовать условия обмена или возврата. Обмен или возврат некачественного товара производится Исполнителем в течение 2 (двух) рабочих дней с даты составления Акта. 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color w:val="000000"/>
          <w:sz w:val="24"/>
          <w:szCs w:val="24"/>
        </w:rPr>
        <w:t>3.11. Гарантия на весь поставляемый Товар составляет не менее 12 ме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сяцев со дня подписания Акта приемки-передачи Товара Сторонами.</w:t>
      </w:r>
    </w:p>
    <w:p w:rsidR="00440C94" w:rsidRPr="00816699" w:rsidRDefault="00816699" w:rsidP="008166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Порядок расчетов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4.1. </w:t>
      </w:r>
      <w:r w:rsidRPr="00816699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Оплата производится по факту поставки товара, его монтажа, осуществления пуско-наладочных работ и обучения персонала </w:t>
      </w:r>
      <w:r w:rsidRPr="00816699">
        <w:rPr>
          <w:rFonts w:ascii="Times New Roman" w:hAnsi="Times New Roman" w:cs="Times New Roman"/>
          <w:color w:val="000000"/>
          <w:sz w:val="24"/>
          <w:szCs w:val="24"/>
        </w:rPr>
        <w:t>в течение 7 (семи) рабочих дней</w:t>
      </w:r>
      <w:r w:rsidRPr="00816699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на основании подписа</w:t>
      </w:r>
      <w:r w:rsidRPr="00816699">
        <w:rPr>
          <w:rFonts w:ascii="Times New Roman" w:eastAsia="Lucida Sans Unicode" w:hAnsi="Times New Roman" w:cs="Times New Roman"/>
          <w:color w:val="000000"/>
          <w:sz w:val="24"/>
          <w:szCs w:val="24"/>
        </w:rPr>
        <w:t>нных сторонами товарных накладных, счета-фактуры, актов приемки-передачи Товара, и счета Исполнителя</w:t>
      </w:r>
      <w:r w:rsidRPr="00816699">
        <w:rPr>
          <w:rFonts w:ascii="Times New Roman" w:hAnsi="Times New Roman" w:cs="Times New Roman"/>
          <w:sz w:val="24"/>
          <w:szCs w:val="24"/>
        </w:rPr>
        <w:t>, оформленных надлежащим образом.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В случае предъявления Заказчиком к Исполнителю требования об уплате неустойки (штрафа, пени), Заказчик вправе исполнить св</w:t>
      </w:r>
      <w:r w:rsidRPr="00816699">
        <w:rPr>
          <w:rFonts w:ascii="Times New Roman" w:hAnsi="Times New Roman" w:cs="Times New Roman"/>
          <w:sz w:val="24"/>
          <w:szCs w:val="24"/>
        </w:rPr>
        <w:t>ои обязательства по оплате только после уплаты Исполнителем неустойки (штрафа, пени), либо, в случае неуплаты такой неустойки в установленный в претензии срок, произвести оплату по Договору за вычетом соответствующего размера неустойки (штрафа, пени).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4.2.</w:t>
      </w:r>
      <w:r w:rsidRPr="00816699">
        <w:rPr>
          <w:rFonts w:ascii="Times New Roman" w:hAnsi="Times New Roman" w:cs="Times New Roman"/>
          <w:sz w:val="24"/>
          <w:szCs w:val="24"/>
        </w:rPr>
        <w:t xml:space="preserve"> Оплата Товара производится в российских рублях.</w:t>
      </w: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4.3. Заказчик считается исполнившим свои обязательства по оплате Товара с момента поступления всей суммы денежных средств за фактически поставленный Товар, с учётом положений пункта 4.1. Договора, на расчетн</w:t>
      </w:r>
      <w:r w:rsidRPr="00816699">
        <w:rPr>
          <w:rFonts w:ascii="Times New Roman" w:hAnsi="Times New Roman" w:cs="Times New Roman"/>
          <w:sz w:val="24"/>
          <w:szCs w:val="24"/>
        </w:rPr>
        <w:t>ый счет Исполнителя.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4.4. В счете, предоставляемом на оплату по настоящему Договору, должны быть указаны номер и дата настоящего Договора.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4.5. Оплата за Товар производится только после предоставления Исполнителем документов, указанных в п.4.1. Договора.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4</w:t>
      </w:r>
      <w:r w:rsidRPr="00816699">
        <w:rPr>
          <w:rFonts w:ascii="Times New Roman" w:hAnsi="Times New Roman" w:cs="Times New Roman"/>
          <w:sz w:val="24"/>
          <w:szCs w:val="24"/>
        </w:rPr>
        <w:t xml:space="preserve">.6. 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Источник финансирования: -средства от предпринимательской деятельности</w:t>
      </w:r>
      <w:r w:rsidRPr="0081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94" w:rsidRPr="00816699" w:rsidRDefault="00816699" w:rsidP="008166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 Заказчик вправе: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5.1.1. Требовать от Исполнителя надлежащего исполнения обязательств в соответствии с условиями договора.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5.1.2. Требовать от Исполн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5.1.3. Запрашивать у Исполнителя информацию о ходе и состоянии исполнения обязательств Исполнителя по настоящему дого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вору.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5.1.4. Осуществлять контроль за порядком и сроками поставки Товара.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5.1.5. 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5.2. Заказчик обязан: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5.2.1. Своевременно принять и оплатить поставку Товара в соо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тветствии с условиями договора.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5.3. Исполнитель вправе: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5.3.1. Требовать подписания Заказчиком Акта приемки-передачи Товара по настоящему договору.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5.3.2. Требовать своевременной оплаты за поставленный Товар.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5.4. Исполнитель обязан: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5.4.1. Своевременно и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поставить Товар, осуществить его монтаж, пуско-наладку и обучить персонал в соответствии с условиями договора.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5.4.2. Представить по запросу Заказчика в сроки, указанные в таком запросе, информацию о ходе исполнения обязательств по наст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оящему договору.</w:t>
      </w: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5.4.3. Исполнять иные обязательства, предусмотренные действующим законодательством.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5.5. Стороны не вправе передавать свои права и обязательства по настоящему договору третьей стороне.</w:t>
      </w:r>
    </w:p>
    <w:p w:rsidR="00440C94" w:rsidRPr="00816699" w:rsidRDefault="00816699" w:rsidP="008166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Форс-мажорные обстоятельства</w:t>
      </w:r>
    </w:p>
    <w:p w:rsidR="00816699" w:rsidRDefault="00133E1B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6.1.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силы, т.е. чрезвычайных и непредотвратимых обстоятель</w:t>
      </w:r>
      <w:r w:rsidRPr="00816699">
        <w:rPr>
          <w:rFonts w:ascii="Times New Roman" w:hAnsi="Times New Roman" w:cs="Times New Roman"/>
          <w:sz w:val="24"/>
          <w:szCs w:val="24"/>
        </w:rPr>
        <w:t xml:space="preserve">ств (форс-мажор), наступивших после подписания Договора, таких как: пожар, землетрясение, наводнения и другие стихийные бедствия; война или военные действия, национальные или отраслевые </w:t>
      </w:r>
    </w:p>
    <w:p w:rsidR="00816699" w:rsidRDefault="00816699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pStyle w:val="western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забастовки и т.п., а также имеющие обязательную силу постановления Пра</w:t>
      </w:r>
      <w:r w:rsidRPr="00816699">
        <w:rPr>
          <w:rFonts w:ascii="Times New Roman" w:hAnsi="Times New Roman" w:cs="Times New Roman"/>
          <w:sz w:val="24"/>
          <w:szCs w:val="24"/>
        </w:rPr>
        <w:t>вительства РФ, Указы Президента РФ, или распоряжения (указания) иных государственных органов.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6.2. При наступлении вышеуказанных обстоятельств, каждая Сторона должна в срок не позднее 3 (трех) дней с момента наступления таких обстоятельств известить о них </w:t>
      </w:r>
      <w:r w:rsidRPr="00816699">
        <w:rPr>
          <w:rFonts w:ascii="Times New Roman" w:hAnsi="Times New Roman" w:cs="Times New Roman"/>
          <w:sz w:val="24"/>
          <w:szCs w:val="24"/>
        </w:rPr>
        <w:t>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</w:t>
      </w:r>
      <w:r w:rsidRPr="00816699">
        <w:rPr>
          <w:rFonts w:ascii="Times New Roman" w:hAnsi="Times New Roman" w:cs="Times New Roman"/>
          <w:sz w:val="24"/>
          <w:szCs w:val="24"/>
        </w:rPr>
        <w:t>зательств по настоящему договору.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6.3. Если Сторона не направит или несвоевременно направит извещение, то она обязана возместить второй стороне понесенные ей убытки.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6.4. В случаях наступления форс-мажорных обстоятельств, срок выполнения Стороной обязатель</w:t>
      </w:r>
      <w:r w:rsidRPr="00816699">
        <w:rPr>
          <w:rFonts w:ascii="Times New Roman" w:hAnsi="Times New Roman" w:cs="Times New Roman"/>
          <w:sz w:val="24"/>
          <w:szCs w:val="24"/>
        </w:rPr>
        <w:t>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40C94" w:rsidRPr="00816699" w:rsidRDefault="00133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6.5. Если наступившие форс-мажорные обстоятельства и их последствия продолжают действовать более 2 (двух) месяцев, Стороны проводя</w:t>
      </w:r>
      <w:r w:rsidRPr="00816699">
        <w:rPr>
          <w:rFonts w:ascii="Times New Roman" w:hAnsi="Times New Roman" w:cs="Times New Roman"/>
          <w:sz w:val="24"/>
          <w:szCs w:val="24"/>
        </w:rPr>
        <w:t>т дополнительные переговоры для выявления приемлемых альтернативных способов исполнения настоящего договора.</w:t>
      </w:r>
    </w:p>
    <w:p w:rsidR="00440C94" w:rsidRPr="00816699" w:rsidRDefault="00816699" w:rsidP="00816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и порядок разрешения споров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7.1. В случае просрочки исполнения Исполнителем обязательств (в том числе гарантийного обязател</w:t>
      </w:r>
      <w:r w:rsidRPr="00816699">
        <w:rPr>
          <w:rFonts w:ascii="Times New Roman" w:hAnsi="Times New Roman" w:cs="Times New Roman"/>
          <w:sz w:val="24"/>
          <w:szCs w:val="24"/>
        </w:rPr>
        <w:t>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поставщику (подрядчику, исполнителю) требование об уплате неустоек (штрафов, пеней</w:t>
      </w:r>
      <w:r w:rsidRPr="00816699">
        <w:rPr>
          <w:rFonts w:ascii="Times New Roman" w:hAnsi="Times New Roman" w:cs="Times New Roman"/>
          <w:sz w:val="24"/>
          <w:szCs w:val="24"/>
        </w:rPr>
        <w:t>).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размере: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-</w:t>
      </w:r>
      <w:r w:rsidRPr="00816699">
        <w:rPr>
          <w:rFonts w:ascii="Times New Roman" w:hAnsi="Times New Roman" w:cs="Times New Roman"/>
          <w:sz w:val="24"/>
          <w:szCs w:val="24"/>
        </w:rPr>
        <w:t xml:space="preserve"> 0,10 % от цены Договора, за каждый день просрочки исполнения обязательства, в случае просрочки не более чем на 10 дней;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- 0,15 % от цены Договора, за каждый день просрочки исполнения обязательства, в случае просрочки на период от 10 до 20 дней включительн</w:t>
      </w:r>
      <w:r w:rsidRPr="00816699">
        <w:rPr>
          <w:rFonts w:ascii="Times New Roman" w:hAnsi="Times New Roman" w:cs="Times New Roman"/>
          <w:sz w:val="24"/>
          <w:szCs w:val="24"/>
        </w:rPr>
        <w:t>о;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- 0,25 % от цены Договора, за каждый день просрочки исполнения обязательства, в случае просрочки более чем 20 дней.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Заказчик взыскивает сумму штрафов и/или пени путем выставления претензии или производит оплату по Договору за вычетом соответствующего размера неустойки (штрафа, пени) по предварительному заявлению Заказчика с суммой расчета в соответствии с действующим за</w:t>
      </w:r>
      <w:r w:rsidRPr="00816699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</w:t>
      </w:r>
      <w:r w:rsidRPr="00816699">
        <w:rPr>
          <w:rFonts w:ascii="Times New Roman" w:hAnsi="Times New Roman" w:cs="Times New Roman"/>
          <w:sz w:val="24"/>
          <w:szCs w:val="24"/>
        </w:rPr>
        <w:t xml:space="preserve">ты неустоек (штрафов, </w:t>
      </w: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</w:t>
      </w:r>
      <w:r w:rsidRPr="00816699">
        <w:rPr>
          <w:rFonts w:ascii="Times New Roman" w:hAnsi="Times New Roman" w:cs="Times New Roman"/>
          <w:sz w:val="24"/>
          <w:szCs w:val="24"/>
        </w:rPr>
        <w:t xml:space="preserve">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Договором, з</w:t>
      </w:r>
      <w:r w:rsidRPr="00816699">
        <w:rPr>
          <w:rFonts w:ascii="Times New Roman" w:hAnsi="Times New Roman" w:cs="Times New Roman"/>
          <w:sz w:val="24"/>
          <w:szCs w:val="24"/>
        </w:rPr>
        <w:t xml:space="preserve">а исключением просрочки исполнения обязательств, предусмотренных Договором.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7.3.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</w:t>
      </w:r>
      <w:r w:rsidRPr="00816699">
        <w:rPr>
          <w:rFonts w:ascii="Times New Roman" w:hAnsi="Times New Roman" w:cs="Times New Roman"/>
          <w:sz w:val="24"/>
          <w:szCs w:val="24"/>
        </w:rPr>
        <w:t>арантийного обязательства), предусмотренных Договором, размер штрафа устанавливается в размере 3 процентов от цены Договора.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7.4. Общая сумма начисленных штрафов за ненадлежащее исполнение Заказчиком обязательств, предусмотренных Договором, не может превыш</w:t>
      </w:r>
      <w:r w:rsidRPr="00816699">
        <w:rPr>
          <w:rFonts w:ascii="Times New Roman" w:hAnsi="Times New Roman" w:cs="Times New Roman"/>
          <w:sz w:val="24"/>
          <w:szCs w:val="24"/>
        </w:rPr>
        <w:t>ать цену Договора.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7.5. Оплата штрафов и пени не освобождает Стороны от выполнения Договорных обязательств.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7.6. Стороны освобождаются от уплаты неустойки, если просрочка исполнения и/или ненадлежащее исполнение обязательств произошли вследствие непреодоли</w:t>
      </w:r>
      <w:r w:rsidRPr="00816699">
        <w:rPr>
          <w:rFonts w:ascii="Times New Roman" w:hAnsi="Times New Roman" w:cs="Times New Roman"/>
          <w:sz w:val="24"/>
          <w:szCs w:val="24"/>
        </w:rPr>
        <w:t>мой силы или по вине другой Стороны.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7.7. За неисполнение и/или ненадлежащее исполнение условий Договора Стороны несут ответственность в соответствии с действующим законодательством РФ.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7.8. Споры между сторонами разрешаются путем переговоров, в случае не </w:t>
      </w:r>
      <w:r w:rsidRPr="00816699">
        <w:rPr>
          <w:rFonts w:ascii="Times New Roman" w:hAnsi="Times New Roman" w:cs="Times New Roman"/>
          <w:sz w:val="24"/>
          <w:szCs w:val="24"/>
        </w:rPr>
        <w:t>достижения согласия в Арбитражном суде Смоленской области.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7.9. Соблюдение претензионного порядка урегулирования разногласий обязательно для обеих Сторон. Срок рассмотрения претензии не более 7 (Семи) дней с даты ее получения.</w:t>
      </w:r>
    </w:p>
    <w:p w:rsidR="00440C94" w:rsidRPr="00816699" w:rsidRDefault="00440C94">
      <w:pPr>
        <w:spacing w:after="0"/>
        <w:ind w:left="-17344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816699" w:rsidP="008166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</w:t>
      </w:r>
      <w:r w:rsidR="00133E1B" w:rsidRPr="00816699">
        <w:rPr>
          <w:rFonts w:ascii="Times New Roman" w:hAnsi="Times New Roman" w:cs="Times New Roman"/>
          <w:b/>
          <w:bCs/>
          <w:sz w:val="24"/>
          <w:szCs w:val="24"/>
        </w:rPr>
        <w:t>ния договора</w:t>
      </w:r>
    </w:p>
    <w:p w:rsidR="00440C94" w:rsidRPr="00816699" w:rsidRDefault="00133E1B" w:rsidP="00816699">
      <w:pPr>
        <w:pStyle w:val="ab"/>
        <w:numPr>
          <w:ilvl w:val="1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Заказчик по согласованию с Исполнителем вправе вносить соответствующие изменения в условия Договора только по основаниям, предусмотренным действующим законодательством Российской Федерации.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Договору, </w:t>
      </w:r>
      <w:r w:rsidRPr="00816699">
        <w:rPr>
          <w:rFonts w:ascii="Times New Roman" w:hAnsi="Times New Roman" w:cs="Times New Roman"/>
          <w:sz w:val="24"/>
          <w:szCs w:val="24"/>
        </w:rPr>
        <w:t xml:space="preserve">не противоречащие законодательству Российской Федерации, оформляются дополнительным соглашением Сторон в письменной форме. 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Изменение существенных условий Договора при его исполнении не допускается, за исключением их изменения по соглашению Сторон в случая</w:t>
      </w:r>
      <w:r w:rsidRPr="00816699">
        <w:rPr>
          <w:rFonts w:ascii="Times New Roman" w:hAnsi="Times New Roman" w:cs="Times New Roman"/>
          <w:sz w:val="24"/>
          <w:szCs w:val="24"/>
        </w:rPr>
        <w:t>х предусмотренных настоящим Договором и действующим законодательством Российской Федерации.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Договор может быть изменен по соглашению Сторон при снижении цены Договора без изменения предусмотренных Договором объема работ.</w:t>
      </w: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8.2. Расторжение договора допускает</w:t>
      </w:r>
      <w:r w:rsidRPr="00816699">
        <w:rPr>
          <w:rFonts w:ascii="Times New Roman" w:hAnsi="Times New Roman" w:cs="Times New Roman"/>
          <w:sz w:val="24"/>
          <w:szCs w:val="24"/>
        </w:rPr>
        <w:t>ся по соглашению сторон, решению суда или в одностороннем порядке по основаниям, предусмотренным гражданским законодательством.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8.3. Заказчик вправе принять решение об одностороннем отказе от исполнения Договора по основаниям, предусмотренным Гражданским к</w:t>
      </w:r>
      <w:r w:rsidRPr="00816699">
        <w:rPr>
          <w:rFonts w:ascii="Times New Roman" w:hAnsi="Times New Roman" w:cs="Times New Roman"/>
          <w:sz w:val="24"/>
          <w:szCs w:val="24"/>
        </w:rPr>
        <w:t>одексом Российской Федерации для одностороннего отказа от исполнения отдельных видов обязательств.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9. Обеспечение исполнения обязательств по Договору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9.1. В целях обеспечения исполнения обязательств по настоящему договору Исполнитель обязуется оформить и п</w:t>
      </w:r>
      <w:r w:rsidRPr="00816699">
        <w:rPr>
          <w:rFonts w:ascii="Times New Roman" w:hAnsi="Times New Roman" w:cs="Times New Roman"/>
          <w:sz w:val="24"/>
          <w:szCs w:val="24"/>
        </w:rPr>
        <w:t>редоставить Заказчику безотзывную независимую гарантию, или передать Заказчику в залог денежные средства в размере обеспечения исполнения договора, указанном в документации электронного аукциона.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9.2. Обеспечение исполнения договора предоставляется на сумм</w:t>
      </w:r>
      <w:r w:rsidRPr="00816699">
        <w:rPr>
          <w:rFonts w:ascii="Times New Roman" w:hAnsi="Times New Roman" w:cs="Times New Roman"/>
          <w:sz w:val="24"/>
          <w:szCs w:val="24"/>
        </w:rPr>
        <w:t xml:space="preserve">у 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 xml:space="preserve">45500,00 (Сорок пять тысяч пятьсот  рублей 00 коп.), </w:t>
      </w:r>
      <w:r w:rsidRPr="00816699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Pr="00816699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816699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договора. Сумма обеспечения исполнения Договора удерживается Заказчиком в полном объёме в случае ненадлежащего исполнения Исполнителем своих обязатель</w:t>
      </w:r>
      <w:r w:rsidRPr="00816699">
        <w:rPr>
          <w:rFonts w:ascii="Times New Roman" w:hAnsi="Times New Roman" w:cs="Times New Roman"/>
          <w:sz w:val="24"/>
          <w:szCs w:val="24"/>
        </w:rPr>
        <w:t>ств по Договору.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9.3. Денежные средства, предоставленные Заказчику в залог в размере обеспечения договора, возвращаются Исполнителю Заказчиком при условии надлежащего исполнения Исполнителем всех своих обязательств по настоящему договору в течение 15 дней </w:t>
      </w:r>
      <w:r w:rsidRPr="00816699">
        <w:rPr>
          <w:rFonts w:ascii="Times New Roman" w:hAnsi="Times New Roman" w:cs="Times New Roman"/>
          <w:sz w:val="24"/>
          <w:szCs w:val="24"/>
        </w:rPr>
        <w:t>с даты исполнения Исполнителем обязательств, предусмотренных Договором.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9.4. Обязательствами Исполнителя, исполнение которых обеспечивается путём внесения денежных средств или предоставления независимой гарантии, являются неисполнение или ненадлежащее испо</w:t>
      </w:r>
      <w:r w:rsidRPr="00816699">
        <w:rPr>
          <w:rFonts w:ascii="Times New Roman" w:hAnsi="Times New Roman" w:cs="Times New Roman"/>
          <w:sz w:val="24"/>
          <w:szCs w:val="24"/>
        </w:rPr>
        <w:t>лнение Исполнителем своих обязательств по договору, в том числе: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- нарушение со стороны Исполнителя сроков поставки товара, частичная поставка товара или отсутствие поставки товара;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- несоответствие качественных и/или технических характеристик поставляемог</w:t>
      </w:r>
      <w:r w:rsidRPr="00816699">
        <w:rPr>
          <w:rFonts w:ascii="Times New Roman" w:hAnsi="Times New Roman" w:cs="Times New Roman"/>
          <w:sz w:val="24"/>
          <w:szCs w:val="24"/>
        </w:rPr>
        <w:t>о товара требованиям спецификации к договору.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9.5. В ходе исполнения Договора Исполнитель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</w:t>
      </w:r>
      <w:r w:rsidRPr="00816699">
        <w:rPr>
          <w:rFonts w:ascii="Times New Roman" w:hAnsi="Times New Roman" w:cs="Times New Roman"/>
          <w:sz w:val="24"/>
          <w:szCs w:val="24"/>
        </w:rPr>
        <w:t xml:space="preserve">о обеспечения исполнения Договора. При этом может быть изменен способ обеспечения исполнения Договора. </w:t>
      </w:r>
    </w:p>
    <w:p w:rsidR="00440C94" w:rsidRPr="00816699" w:rsidRDefault="00133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Срок действия и прочие условия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10.1. Настоящий Договор вступает в действие с даты подписания и действует до 31.12.2024. Окончание срока действия Договора влечет прекращение обязательств сторон по нему, за исключением гарантийных обязательств и обязательств по оплате и уплате санкций, ко</w:t>
      </w:r>
      <w:r w:rsidRPr="00816699">
        <w:rPr>
          <w:rFonts w:ascii="Times New Roman" w:hAnsi="Times New Roman" w:cs="Times New Roman"/>
          <w:sz w:val="24"/>
          <w:szCs w:val="24"/>
        </w:rPr>
        <w:t>торые действуют до полного их исполнения Сторонами.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10.2.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Сторону.</w:t>
      </w:r>
    </w:p>
    <w:p w:rsidR="00816699" w:rsidRDefault="00816699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699" w:rsidRDefault="00816699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699" w:rsidRDefault="00816699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699" w:rsidRDefault="00816699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699" w:rsidRDefault="00816699">
      <w:pPr>
        <w:pStyle w:val="ConsPlusNormal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C94" w:rsidRPr="00816699" w:rsidRDefault="00133E1B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eastAsia="Times New Roman" w:hAnsi="Times New Roman" w:cs="Times New Roman"/>
          <w:sz w:val="24"/>
          <w:szCs w:val="24"/>
        </w:rPr>
        <w:t>10.3. Все увед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омления Сторон, связанные с исполнением настоящего Договора, направляются в письменной форме по почте заказным письмом по фактическому адресу Стороны или с использованием факсимильной связи, электронной почты с последующим предоставлением оригинала. В случ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</w:t>
      </w:r>
      <w:r w:rsidRPr="00816699">
        <w:rPr>
          <w:rFonts w:ascii="Times New Roman" w:eastAsia="Times New Roman" w:hAnsi="Times New Roman" w:cs="Times New Roman"/>
          <w:sz w:val="24"/>
          <w:szCs w:val="24"/>
        </w:rPr>
        <w:t>аются полученными Стороной в день их отправки.</w:t>
      </w:r>
    </w:p>
    <w:p w:rsidR="00440C94" w:rsidRPr="00816699" w:rsidRDefault="00133E1B">
      <w:pPr>
        <w:jc w:val="both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10.4. Вопросы, не урегулированные настоящим Договором, стороны рассматривают в соответствии с действующим законодательством РФ.</w:t>
      </w:r>
    </w:p>
    <w:p w:rsidR="00440C94" w:rsidRPr="00816699" w:rsidRDefault="00133E1B">
      <w:pPr>
        <w:spacing w:after="0"/>
        <w:ind w:left="-26176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11.  Место нахождения и банковские реквизиты сторон</w:t>
      </w:r>
    </w:p>
    <w:tbl>
      <w:tblPr>
        <w:tblW w:w="0" w:type="auto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440C94" w:rsidRPr="00816699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</w:tcPr>
          <w:p w:rsidR="00440C94" w:rsidRPr="00816699" w:rsidRDefault="00133E1B">
            <w:pPr>
              <w:ind w:left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928" w:type="dxa"/>
            <w:shd w:val="clear" w:color="auto" w:fill="auto"/>
          </w:tcPr>
          <w:p w:rsidR="00440C94" w:rsidRPr="00816699" w:rsidRDefault="00133E1B">
            <w:pPr>
              <w:ind w:left="7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440C94" w:rsidRPr="00816699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</w:tcPr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ОГАУЗ «Смоленская областная клиническая стоматологическая поликлиника»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Юр. адрес: 214018, Смоленская область, 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г. Смоленск, проспект Гагарина дом 27А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214018, Смоленская область, 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г. Смоленск, проспект Гагарина дом 27А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Казначейский счет (счет плательщика)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03224643660000006301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 ОТДЕЛЕНИЕ СМОЛЕНСК//УФК по Смоленской области, г. Смоленск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БИК 016614901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Кор. счет банка 40102810445370000055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ОГРН 1026701443350 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ОКПО 01946417</w:t>
            </w:r>
          </w:p>
          <w:p w:rsidR="00440C94" w:rsidRPr="00816699" w:rsidRDefault="0013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81669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6670100</w:t>
            </w:r>
            <w:r w:rsidRPr="0081669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_________________________ /Зубакин И.С/</w:t>
            </w:r>
          </w:p>
        </w:tc>
        <w:tc>
          <w:tcPr>
            <w:tcW w:w="4928" w:type="dxa"/>
            <w:shd w:val="clear" w:color="auto" w:fill="auto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ИП Хватькова Наталья Александровна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214019, г. Смоленск, ул. Крупской. Д.55 А, кв.104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ИНН 672907666848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ОГРНИП 672907666848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АО «Тинькофф Банк», Москва, 123060, 1-й Волоколамский проезд, д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.10, стр. 1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БИК 044525974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Кор/сч 30101810145250000974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р/сч 40802810500001415320 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ИП                                       Хватькова  Н.А.</w:t>
            </w:r>
          </w:p>
        </w:tc>
      </w:tr>
    </w:tbl>
    <w:p w:rsidR="00440C94" w:rsidRPr="00816699" w:rsidRDefault="00440C94">
      <w:pPr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rPr>
          <w:rFonts w:ascii="Times New Roman" w:hAnsi="Times New Roman" w:cs="Times New Roman"/>
          <w:sz w:val="24"/>
          <w:szCs w:val="24"/>
        </w:rPr>
      </w:pPr>
    </w:p>
    <w:p w:rsidR="00816699" w:rsidRDefault="00816699">
      <w:pPr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right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Приложение № 1 к договору </w:t>
      </w:r>
    </w:p>
    <w:p w:rsidR="00440C94" w:rsidRPr="00816699" w:rsidRDefault="00133E1B">
      <w:pPr>
        <w:jc w:val="right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№32413353107         от _________________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W w:w="11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4439"/>
      </w:tblGrid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функции или величина параметра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Регистрационное   удостоверение   Минздрава России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Госстандарта России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Монтаж оборудования, обучение персонала на месте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Гарантийное оборудование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поставляемых комплектов оборудования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 (четыре)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функциональные требования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Стоматологическая установка стационарного типа с нижней подачей инструментальных шлангов.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Напряжение сети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220В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Частота сети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50 Гц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Максимальная потребляемая мощность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800W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Вес установки брутто, кг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250кг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Вес установки нетто, кг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230кг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Габариты упаковки, мм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1420х1020х1150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Габариты установки, мм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2000х1000х2000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установки (с светильником), мм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Высота плеча столика врача, мм, в диапазоне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810 - 1150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Входное давление воды, в диапазоне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0,2 - 0,4 мПа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Входное давление воздуха, в диапазоне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0,55 – 0,80 мПа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 к гидроблоку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Поворотный гидроблок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8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Система автономной подачи чистой воды на все инструменты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Слюноотсос      эжекторный      водяной      с креплением на гидроблоке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Включение слюноотсоса автоматическое  при вынимании из держателя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Пылекровоотсос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       воздушный      с креплением на гидроблоке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Включение  пылекровоотсоса автоматическое  при вынимании из держателя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104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Напольный выносной блок подключения к коммуникациям с системой предварительной фильтрации и регулировки воды и воздуха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Легкосъемный фильтр отсосов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Бокс (съемный)  для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дезинфекционных салфеток интегрированный в гидроблок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Поворотная разборная плевательница состоящая из двух керамических и одной стеклянной частей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          ножной           включатель инструментов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 к блоку врача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 на поворотном плече 3-ех артикуляционных соединений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Пневмотормоз блокировки модуля врача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8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Инструментальный столик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Негатоскоп для дентальных снимков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Программируемое наполнение стакана, омывание плевательницы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Сенсорная панель управления 40-12 см (Touchscreen)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Включение/выключение  охлаждающего  спрея раздельно на каждый инструмент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Включение/выключение большого негатоскопа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Регулировка подачи охлаждающей жидкости на инструменты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модуле врача инструментов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 инструментов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на инструментальный столик врача / при верхней подаче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2,5 кг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Функциональные требования к светильнику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ind w:left="17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светильник с шестью светодиодами,  на пантографическом плече.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12 В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Номинальная частота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50 Гц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Номинальная потребляемая мощность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50Ват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Размер светового пятна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Max. 80 х 180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Фокусное расстояние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0,7 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Яркость освещения: 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Минимум при 10 В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Минимум при 12. В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10000 Люкс</w:t>
            </w:r>
          </w:p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15000 Люкс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 к стоматологическому креслу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Обивка кресла фибро-кожа, цвет голубой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ind w:left="3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 программируемых позиций кресла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Электромеханическое   с   2-МЯ независимыми электродвигателями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Левый подлокотник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Правый подлокотник, откидной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Подголовник 3-х осевой с двойной артикуляцией  и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положения по высоте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6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Управление креслом с джойстика педали, модуля врача, модуля ассистента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Нижнее положение сиденья кресла 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ind w:left="3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600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Максимальное   верхнее   положение   сиденья кресла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ind w:left="3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850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Длина кресла в разложенном состоянии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2150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Ширина сидения кресла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560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Ширина кресла с подлокотниками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675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Выдвижение подголовника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120 мм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Грузоподъемность кресла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210 кг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Допустимая нагрузка на кресло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250 кг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Диапазон наклона назад спинки кресла 110-175 градусов.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Угол наклона сиденья от линии горизонтального положения 12град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требования к стульям врача и ассистента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ind w:left="-17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Стул врача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ind w:hanging="28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ind w:left="-17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Стул ассистента 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ind w:hanging="28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Опора металлическая на 5 колесиках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Газовая пружина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Сиденье  и  опора  спины  мягкие,  покрытые фибро-кожей, цвет голубой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Опора спины узкая, удлинена сод правую руку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сиденья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Минимальная высота сиденья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Высота опоры спины от сидения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8710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Вращение сиденья с опорой спины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360°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требования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Инструкция по монтажу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Инструкция по эксплуатации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Водно-воздушная схема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Электросхема на русском языке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1102" w:type="dxa"/>
            <w:gridSpan w:val="3"/>
            <w:shd w:val="clear" w:color="auto" w:fill="FFFFFF"/>
          </w:tcPr>
          <w:p w:rsidR="00440C94" w:rsidRPr="00816699" w:rsidRDefault="00133E1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Функциональные требования к встраиваемому электрическому микромотору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Система векторного управления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Бесщеточный мотор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Частота вращения в диапазоне 2000 – 40000 оборотов в минуту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Крутящий момент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3.4Нсм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Тип оси асинхронные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Источник света светодиод (белый свет)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Внутреннее охлаждение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В комплекте шланг и плата управления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Функция реверса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Питание 24В AC/DC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Разъем: E-Type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25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238" w:type="dxa"/>
            <w:shd w:val="clear" w:color="auto" w:fill="FFFFFF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4439" w:type="dxa"/>
            <w:shd w:val="clear" w:color="auto" w:fill="FFFFFF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60дБ</w:t>
            </w:r>
          </w:p>
        </w:tc>
      </w:tr>
    </w:tbl>
    <w:p w:rsidR="00440C94" w:rsidRPr="00816699" w:rsidRDefault="00133E1B">
      <w:pPr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br w:type="page"/>
      </w:r>
    </w:p>
    <w:p w:rsidR="00440C94" w:rsidRPr="00816699" w:rsidRDefault="00133E1B">
      <w:pPr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816699" w:rsidRDefault="00133E1B">
      <w:pPr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16699" w:rsidRDefault="00816699">
      <w:pPr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81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33E1B" w:rsidRPr="00816699">
        <w:rPr>
          <w:rFonts w:ascii="Times New Roman" w:hAnsi="Times New Roman" w:cs="Times New Roman"/>
          <w:sz w:val="24"/>
          <w:szCs w:val="24"/>
        </w:rPr>
        <w:t xml:space="preserve">Приложение № 2 к договору №32413353107  от </w:t>
      </w:r>
      <w:r>
        <w:rPr>
          <w:rFonts w:ascii="Times New Roman" w:hAnsi="Times New Roman" w:cs="Times New Roman"/>
          <w:sz w:val="24"/>
          <w:szCs w:val="24"/>
        </w:rPr>
        <w:t xml:space="preserve"> 01апреля 2024</w:t>
      </w: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985"/>
        <w:gridCol w:w="1134"/>
        <w:gridCol w:w="567"/>
        <w:gridCol w:w="567"/>
        <w:gridCol w:w="992"/>
        <w:gridCol w:w="1276"/>
        <w:gridCol w:w="1134"/>
      </w:tblGrid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регистрационным удостоверением</w:t>
            </w:r>
          </w:p>
        </w:tc>
        <w:tc>
          <w:tcPr>
            <w:tcW w:w="1134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567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Ставка НДС, руб.</w:t>
            </w:r>
          </w:p>
        </w:tc>
        <w:tc>
          <w:tcPr>
            <w:tcW w:w="1276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Цена  руб.</w:t>
            </w:r>
          </w:p>
        </w:tc>
        <w:tc>
          <w:tcPr>
            <w:tcW w:w="1134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440C94" w:rsidRPr="00816699" w:rsidTr="0081669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shd w:val="clear" w:color="auto" w:fill="auto"/>
          </w:tcPr>
          <w:p w:rsidR="00440C94" w:rsidRPr="00816699" w:rsidRDefault="00440C94">
            <w:pPr>
              <w:numPr>
                <w:ilvl w:val="0"/>
                <w:numId w:val="4"/>
              </w:numPr>
              <w:ind w:left="6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стоматологическая, включающая блок врача-стоматолога(бормашина), кресло стоматологическое, гидроблок стоматологический, светильник операционный стоматологический</w:t>
            </w:r>
          </w:p>
        </w:tc>
        <w:tc>
          <w:tcPr>
            <w:tcW w:w="1985" w:type="dxa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стоматологическая AY с принадлежностями: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исполнения A 3600 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Регистрационное удостоверение №ФСЗ 2010/07742 от 08.07.2019 года</w:t>
            </w:r>
          </w:p>
        </w:tc>
        <w:tc>
          <w:tcPr>
            <w:tcW w:w="1134" w:type="dxa"/>
            <w:shd w:val="clear" w:color="auto" w:fill="auto"/>
          </w:tcPr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>Фошан Эниа Медикал Текнолоджи Ко., Лтд.»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567" w:type="dxa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67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452725,00</w:t>
            </w:r>
          </w:p>
        </w:tc>
        <w:tc>
          <w:tcPr>
            <w:tcW w:w="1134" w:type="dxa"/>
            <w:shd w:val="clear" w:color="auto" w:fill="auto"/>
          </w:tcPr>
          <w:p w:rsidR="00440C94" w:rsidRPr="00816699" w:rsidRDefault="0013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905450,00</w:t>
            </w:r>
          </w:p>
        </w:tc>
      </w:tr>
    </w:tbl>
    <w:p w:rsidR="00440C94" w:rsidRPr="00816699" w:rsidRDefault="00440C94">
      <w:pPr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440C94">
      <w:pPr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440C94">
      <w:pPr>
        <w:rPr>
          <w:rFonts w:ascii="Times New Roman" w:hAnsi="Times New Roman" w:cs="Times New Roman"/>
          <w:sz w:val="24"/>
          <w:szCs w:val="24"/>
        </w:rPr>
      </w:pPr>
    </w:p>
    <w:p w:rsidR="00440C94" w:rsidRPr="00816699" w:rsidRDefault="0013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699">
        <w:rPr>
          <w:rFonts w:ascii="Times New Roman" w:hAnsi="Times New Roman" w:cs="Times New Roman"/>
          <w:sz w:val="24"/>
          <w:szCs w:val="24"/>
        </w:rPr>
        <w:t>ИТОГО: 905450,00</w:t>
      </w:r>
      <w:r w:rsidRPr="00816699">
        <w:rPr>
          <w:rFonts w:ascii="Times New Roman" w:hAnsi="Times New Roman" w:cs="Times New Roman"/>
          <w:sz w:val="24"/>
          <w:szCs w:val="24"/>
        </w:rPr>
        <w:t xml:space="preserve"> (Девятьсот пять тысяч четыреста пятьдесят  рублей)  00 копеек без НДС  </w:t>
      </w:r>
    </w:p>
    <w:tbl>
      <w:tblPr>
        <w:tblW w:w="0" w:type="auto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440C94" w:rsidRPr="00816699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От Заказчика: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_________________________ /И.С. Зубакин/</w:t>
            </w:r>
          </w:p>
        </w:tc>
        <w:tc>
          <w:tcPr>
            <w:tcW w:w="4928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От исполнителя: </w:t>
            </w:r>
          </w:p>
          <w:p w:rsidR="00440C94" w:rsidRPr="00816699" w:rsidRDefault="0013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699">
              <w:rPr>
                <w:rFonts w:ascii="Times New Roman" w:hAnsi="Times New Roman" w:cs="Times New Roman"/>
                <w:sz w:val="24"/>
                <w:szCs w:val="24"/>
              </w:rPr>
              <w:t>ИП  Н.А. Хватькова</w:t>
            </w:r>
          </w:p>
        </w:tc>
      </w:tr>
      <w:tr w:rsidR="00440C94" w:rsidRPr="00816699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94" w:rsidRPr="00816699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440C94" w:rsidRPr="00816699" w:rsidRDefault="004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C94" w:rsidRPr="00816699" w:rsidRDefault="00440C94">
      <w:pPr>
        <w:rPr>
          <w:rFonts w:ascii="Times New Roman" w:hAnsi="Times New Roman" w:cs="Times New Roman"/>
          <w:sz w:val="24"/>
          <w:szCs w:val="24"/>
        </w:rPr>
      </w:pPr>
    </w:p>
    <w:sectPr w:rsidR="00440C94" w:rsidRPr="00816699">
      <w:headerReference w:type="default" r:id="rId7"/>
      <w:footerReference w:type="default" r:id="rId8"/>
      <w:pgSz w:w="11906" w:h="16838"/>
      <w:pgMar w:top="567" w:right="567" w:bottom="426" w:left="1134" w:header="2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1B" w:rsidRDefault="00133E1B">
      <w:pPr>
        <w:spacing w:after="0" w:line="240" w:lineRule="auto"/>
      </w:pPr>
      <w:r>
        <w:separator/>
      </w:r>
    </w:p>
  </w:endnote>
  <w:endnote w:type="continuationSeparator" w:id="0">
    <w:p w:rsidR="00133E1B" w:rsidRDefault="0013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94" w:rsidRDefault="00133E1B">
    <w:pPr>
      <w:jc w:val="right"/>
    </w:pPr>
    <w:r>
      <w:fldChar w:fldCharType="begin"/>
    </w:r>
    <w:r>
      <w:instrText>PAGE   \* MERGEFORMAT</w:instrText>
    </w:r>
    <w:r w:rsidR="00816699">
      <w:fldChar w:fldCharType="separate"/>
    </w:r>
    <w:r w:rsidR="00816699">
      <w:rPr>
        <w:noProof/>
      </w:rPr>
      <w:t>1</w:t>
    </w:r>
    <w:r>
      <w:fldChar w:fldCharType="end"/>
    </w:r>
  </w:p>
  <w:p w:rsidR="00440C94" w:rsidRDefault="00440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1B" w:rsidRDefault="00133E1B">
      <w:pPr>
        <w:spacing w:after="0" w:line="240" w:lineRule="auto"/>
      </w:pPr>
      <w:r>
        <w:separator/>
      </w:r>
    </w:p>
  </w:footnote>
  <w:footnote w:type="continuationSeparator" w:id="0">
    <w:p w:rsidR="00133E1B" w:rsidRDefault="0013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94" w:rsidRDefault="00816699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align>left</wp:align>
          </wp:positionH>
          <wp:positionV relativeFrom="line">
            <wp:align>top</wp:align>
          </wp:positionV>
          <wp:extent cx="6350000" cy="13576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0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90AD32"/>
    <w:multiLevelType w:val="hybridMultilevel"/>
    <w:tmpl w:val="E6BAF024"/>
    <w:lvl w:ilvl="0" w:tplc="15C45E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630DB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0923CD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4CCFA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D4A5B8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73C910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6EEEA0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F2AA16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E08F0C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CC4AF7F9"/>
    <w:multiLevelType w:val="hybridMultilevel"/>
    <w:tmpl w:val="1CEAA6AA"/>
    <w:lvl w:ilvl="0" w:tplc="7AF69B9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B90E03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A50264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E0C59F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A99A269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8D0CB2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4BE168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312DD6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32CC37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D30DB907"/>
    <w:multiLevelType w:val="multilevel"/>
    <w:tmpl w:val="52609A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18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18"/>
      </w:pPr>
    </w:lvl>
  </w:abstractNum>
  <w:abstractNum w:abstractNumId="3" w15:restartNumberingAfterBreak="0">
    <w:nsid w:val="05A13035"/>
    <w:multiLevelType w:val="multilevel"/>
    <w:tmpl w:val="3942E9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0" w:hanging="1800"/>
      </w:pPr>
      <w:rPr>
        <w:rFonts w:hint="default"/>
      </w:rPr>
    </w:lvl>
  </w:abstractNum>
  <w:abstractNum w:abstractNumId="4" w15:restartNumberingAfterBreak="0">
    <w:nsid w:val="3D410E9A"/>
    <w:multiLevelType w:val="hybridMultilevel"/>
    <w:tmpl w:val="BAC803B2"/>
    <w:lvl w:ilvl="0" w:tplc="06B809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E1ECD2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7E784DF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656BFE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8C8C20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E4AC6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45A28C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60EEC1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6365CA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5F9F4A"/>
    <w:multiLevelType w:val="multilevel"/>
    <w:tmpl w:val="67E42AD2"/>
    <w:lvl w:ilvl="0">
      <w:start w:val="1"/>
      <w:numFmt w:val="decimal"/>
      <w:lvlText w:val="%1."/>
      <w:lvlJc w:val="left"/>
      <w:pPr>
        <w:tabs>
          <w:tab w:val="num" w:pos="0"/>
        </w:tabs>
        <w:ind w:left="1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0" w:hanging="1800"/>
      </w:pPr>
      <w:rPr>
        <w:rFonts w:hint="default"/>
      </w:rPr>
    </w:lvl>
  </w:abstractNum>
  <w:abstractNum w:abstractNumId="6" w15:restartNumberingAfterBreak="0">
    <w:nsid w:val="66486BE4"/>
    <w:multiLevelType w:val="multilevel"/>
    <w:tmpl w:val="7C14A0B2"/>
    <w:lvl w:ilvl="0">
      <w:start w:val="1"/>
      <w:numFmt w:val="decimal"/>
      <w:lvlText w:val="%1."/>
      <w:lvlJc w:val="left"/>
      <w:pPr>
        <w:tabs>
          <w:tab w:val="num" w:pos="0"/>
        </w:tabs>
        <w:ind w:left="1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94"/>
    <w:rsid w:val="00133E1B"/>
    <w:rsid w:val="00440C94"/>
    <w:rsid w:val="008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DCFC9"/>
  <w15:docId w15:val="{8094CA8E-F8A8-46DC-92A8-0C5FE61C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40"/>
      <w:outlineLvl w:val="1"/>
    </w:pPr>
    <w:rPr>
      <w:color w:val="365F91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pPr>
      <w:keepNext/>
      <w:spacing w:before="120" w:after="60"/>
      <w:jc w:val="center"/>
      <w:outlineLvl w:val="2"/>
    </w:pPr>
    <w:rPr>
      <w:b/>
      <w:bCs/>
      <w:smallCaps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keepNext/>
      <w:jc w:val="center"/>
      <w:outlineLvl w:val="3"/>
    </w:pPr>
    <w:rPr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caps w:val="0"/>
      <w:smallCaps/>
      <w:sz w:val="28"/>
      <w:szCs w:val="28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caps w:val="0"/>
      <w:smallCaps/>
      <w:sz w:val="24"/>
      <w:szCs w:val="24"/>
    </w:rPr>
  </w:style>
  <w:style w:type="paragraph" w:styleId="a4">
    <w:name w:val="footer"/>
    <w:basedOn w:val="a"/>
    <w:rPr>
      <w:lang w:val="x-none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PlusNormal">
    <w:name w:val="ConsPlusNormal"/>
    <w:basedOn w:val="a"/>
    <w:pPr>
      <w:suppressAutoHyphens/>
      <w:spacing w:after="0"/>
    </w:pPr>
    <w:rPr>
      <w:sz w:val="20"/>
      <w:szCs w:val="20"/>
    </w:rPr>
  </w:style>
  <w:style w:type="paragraph" w:customStyle="1" w:styleId="10">
    <w:name w:val="Обычный (Интернет)1"/>
    <w:basedOn w:val="a"/>
    <w:pPr>
      <w:spacing w:before="280" w:after="280"/>
    </w:pPr>
  </w:style>
  <w:style w:type="paragraph" w:styleId="a6">
    <w:name w:val="No Spacing"/>
    <w:basedOn w:val="a"/>
    <w:pPr>
      <w:suppressAutoHyphens/>
      <w:spacing w:after="0"/>
    </w:pPr>
    <w:rPr>
      <w:rFonts w:ascii="Calibri" w:eastAsia="Calibri" w:hAnsi="Calibri" w:cs="Calibri"/>
    </w:rPr>
  </w:style>
  <w:style w:type="paragraph" w:customStyle="1" w:styleId="western">
    <w:name w:val="western"/>
    <w:basedOn w:val="a"/>
    <w:pPr>
      <w:spacing w:before="100"/>
    </w:pPr>
    <w:rPr>
      <w:color w:val="000000"/>
    </w:rPr>
  </w:style>
  <w:style w:type="paragraph" w:customStyle="1" w:styleId="hp">
    <w:name w:val="hp"/>
    <w:basedOn w:val="a"/>
    <w:pPr>
      <w:spacing w:before="100" w:after="100"/>
    </w:pPr>
  </w:style>
  <w:style w:type="paragraph" w:styleId="20">
    <w:name w:val="Body Text 2"/>
    <w:basedOn w:val="a"/>
    <w:pPr>
      <w:spacing w:after="120"/>
    </w:pPr>
    <w:rPr>
      <w:sz w:val="20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rPr>
      <w:rFonts w:ascii="Arial" w:eastAsia="Arial" w:hAnsi="Arial" w:cs="Arial"/>
      <w:sz w:val="20"/>
      <w:szCs w:val="20"/>
    </w:rPr>
  </w:style>
  <w:style w:type="character" w:customStyle="1" w:styleId="a7">
    <w:name w:val="Без интервала Знак"/>
    <w:rPr>
      <w:rFonts w:ascii="Calibri" w:eastAsia="Calibri" w:hAnsi="Calibri" w:cs="Calibri"/>
    </w:rPr>
  </w:style>
  <w:style w:type="character" w:customStyle="1" w:styleId="22">
    <w:name w:val="Заголовок 2 Знак"/>
    <w:rPr>
      <w:color w:val="365F91"/>
      <w:sz w:val="26"/>
      <w:szCs w:val="26"/>
    </w:rPr>
  </w:style>
  <w:style w:type="paragraph" w:customStyle="1" w:styleId="11">
    <w:name w:val="Абзац списка1"/>
    <w:basedOn w:val="a"/>
    <w:pPr>
      <w:ind w:left="-5888"/>
      <w:contextualSpacing/>
    </w:pPr>
  </w:style>
  <w:style w:type="character" w:customStyle="1" w:styleId="12">
    <w:name w:val="Текст выноски1"/>
    <w:rPr>
      <w:rFonts w:ascii="Tahoma" w:eastAsia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styleId="a9">
    <w:name w:val="Strong"/>
    <w:rPr>
      <w:b/>
      <w:bCs/>
    </w:rPr>
  </w:style>
  <w:style w:type="paragraph" w:customStyle="1" w:styleId="aa">
    <w:name w:val="Содержимое таблицы"/>
    <w:basedOn w:val="a"/>
  </w:style>
  <w:style w:type="paragraph" w:styleId="ab">
    <w:name w:val="List Paragraph"/>
    <w:basedOn w:val="a"/>
    <w:uiPriority w:val="34"/>
    <w:qFormat/>
    <w:rsid w:val="008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3982</Words>
  <Characters>22699</Characters>
  <Application>Microsoft Office Word</Application>
  <DocSecurity>0</DocSecurity>
  <Lines>189</Lines>
  <Paragraphs>53</Paragraphs>
  <ScaleCrop>false</ScaleCrop>
  <Manager/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Богатырёва Анна Дмитриевна</dc:creator>
  <cp:keywords/>
  <dc:description/>
  <cp:lastModifiedBy>user</cp:lastModifiedBy>
  <cp:revision>2</cp:revision>
  <dcterms:created xsi:type="dcterms:W3CDTF">2024-05-30T07:50:00Z</dcterms:created>
  <dcterms:modified xsi:type="dcterms:W3CDTF">2024-05-30T07:50:00Z</dcterms:modified>
  <cp:category/>
</cp:coreProperties>
</file>